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A096879" w:rsidR="001A2CE9" w:rsidRDefault="0024723D">
      <w:pPr>
        <w:ind w:left="-1140" w:right="-8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ENFRENTAMENTO AO TRABALHO INFANTIL NO CONTEXTO DA COVID-19</w:t>
      </w:r>
      <w:r w:rsidR="00947843">
        <w:rPr>
          <w:rStyle w:val="Refdenotaderodap"/>
          <w:b/>
          <w:sz w:val="24"/>
          <w:szCs w:val="24"/>
        </w:rPr>
        <w:footnoteReference w:id="1"/>
      </w:r>
    </w:p>
    <w:p w14:paraId="35F9E2BE" w14:textId="4A811981" w:rsidR="00947843" w:rsidRDefault="00947843">
      <w:pPr>
        <w:ind w:left="-1140" w:right="-860"/>
        <w:jc w:val="center"/>
        <w:rPr>
          <w:b/>
          <w:sz w:val="24"/>
          <w:szCs w:val="24"/>
        </w:rPr>
      </w:pPr>
    </w:p>
    <w:p w14:paraId="55BC4CB1" w14:textId="33D7128B" w:rsidR="00947843" w:rsidRDefault="00947843">
      <w:pPr>
        <w:ind w:left="-1140" w:right="-860"/>
        <w:jc w:val="center"/>
        <w:rPr>
          <w:b/>
          <w:sz w:val="24"/>
          <w:szCs w:val="24"/>
        </w:rPr>
      </w:pPr>
    </w:p>
    <w:p w14:paraId="5CEF3C15" w14:textId="785609FD" w:rsidR="00947843" w:rsidRDefault="00947843" w:rsidP="00947843">
      <w:pPr>
        <w:ind w:left="-1140" w:right="-8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Tânia Mara Dornellas dos Santos</w:t>
      </w:r>
      <w:r>
        <w:rPr>
          <w:rStyle w:val="Refdenotaderodap"/>
          <w:b/>
          <w:sz w:val="24"/>
          <w:szCs w:val="24"/>
        </w:rPr>
        <w:footnoteReference w:id="2"/>
      </w:r>
    </w:p>
    <w:p w14:paraId="00000002" w14:textId="77777777" w:rsidR="001A2CE9" w:rsidRDefault="0024723D">
      <w:pPr>
        <w:ind w:left="-1140" w:right="-8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>Definitivamente o mundo vive um momento histórico e trágico com a pandemia da COVID-19. Os impactos já são evidentes em várias dimensões da vida social, política, econômica e cultural em escala global. No Brasil, as restrições e recomendações de isolamento social afetam a vida das pessoas de diferentes formas e escancaram a desigualdade e a exclusão social, a fragilidade das políticas públicas e a morosidade do governo federal na adoção de medidas que garantam o direito fundamental à vida e a proteção social de seus cidadãos.</w:t>
      </w:r>
    </w:p>
    <w:p w14:paraId="00000004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45F627AC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que se destacar o apoio irrestrito às medidas de isolamento social de uma parcela significativa da sociedade para conter a propagação do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 xml:space="preserve">. Entretanto, é fundamental uma reflexão mais profunda sobre os impactos da pandemia na vida das crianças e adolescentes para que medidas emergenciais de proteção sejam imediatamente tomadas, uma vez que neste cenário caótico e sem precedentes são estes os sujeitos sociais mais vulneráveis. </w:t>
      </w:r>
    </w:p>
    <w:p w14:paraId="00000006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que se refere ao trabalho infantil, o isolamento social inegavelmente necessário, também traz desafios para todos os atores sociais e políticos do Sistema de Garantia de Direitos, considerando que é na desigualdade social, nas altas taxas de desemprego, na pobreza e na exclusão escolar que se encontram as raízes do trabalho infantil. Os últimos dados divulgados pelo Instituto Brasileiro de Geografia e Estatística (IBGE) mostram que havia </w:t>
      </w:r>
      <w:r>
        <w:rPr>
          <w:b/>
          <w:sz w:val="24"/>
          <w:szCs w:val="24"/>
        </w:rPr>
        <w:t>2,4 milhões de crianças e adolescentes de cinco a 17 anos em situação de trabalho infantil no Brasil, o que representa 6% da população (40,1 milhões) nesta faixa etária</w:t>
      </w:r>
      <w:r>
        <w:rPr>
          <w:sz w:val="24"/>
          <w:szCs w:val="24"/>
        </w:rPr>
        <w:t xml:space="preserve"> (Pesquisa Nacional por Amostra de Domicílios Contínua 2016)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Neste contexto, duas questões centrais estão colocadas: como garantir a proteção de milhões de crianças e adolescentes que estão em situação de trabalho infantil e como prevenir o possível aumento desta violação de direitos humanos no país?</w:t>
      </w:r>
    </w:p>
    <w:p w14:paraId="00000008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>Toda e qualquer resposta a essas perguntas deve, necessariamente, levar em conta que:</w:t>
      </w:r>
    </w:p>
    <w:p w14:paraId="0000000A" w14:textId="14E96F00" w:rsidR="001A2CE9" w:rsidRDefault="0024723D">
      <w:pPr>
        <w:numPr>
          <w:ilvl w:val="0"/>
          <w:numId w:val="2"/>
        </w:numPr>
        <w:spacing w:line="360" w:lineRule="auto"/>
        <w:ind w:right="-860"/>
        <w:jc w:val="both"/>
      </w:pPr>
      <w:r>
        <w:rPr>
          <w:sz w:val="24"/>
          <w:szCs w:val="24"/>
        </w:rPr>
        <w:t xml:space="preserve">O Brasil é o segundo país com a maior concentração de renda do mundo e é o sétimo em desigualdade social, segundo o Relatório de Desenvolvimento Humano 2019 da </w:t>
      </w:r>
      <w:r>
        <w:rPr>
          <w:sz w:val="24"/>
          <w:szCs w:val="24"/>
        </w:rPr>
        <w:lastRenderedPageBreak/>
        <w:t>Organização das Nações Unidas (ONU)</w:t>
      </w:r>
      <w:r w:rsidR="00621829">
        <w:rPr>
          <w:rStyle w:val="Refdenotaderodap"/>
          <w:sz w:val="24"/>
          <w:szCs w:val="24"/>
        </w:rPr>
        <w:footnoteReference w:id="3"/>
      </w:r>
      <w:r>
        <w:rPr>
          <w:sz w:val="24"/>
          <w:szCs w:val="24"/>
        </w:rPr>
        <w:t xml:space="preserve">. O documento destaca que “as sociedades mais desiguais são menos efetivas na redução da pobreza do que aquelas com menores níveis de desigualdade. Elas também crescem mais lentamente e têm menos sucesso no que se refere a um desenvolvimento econômico sustentável”. </w:t>
      </w:r>
    </w:p>
    <w:p w14:paraId="0000000B" w14:textId="0499B594" w:rsidR="001A2CE9" w:rsidRPr="00824A69" w:rsidRDefault="0024723D">
      <w:pPr>
        <w:numPr>
          <w:ilvl w:val="0"/>
          <w:numId w:val="2"/>
        </w:numPr>
        <w:spacing w:line="360" w:lineRule="auto"/>
        <w:ind w:right="-860"/>
        <w:jc w:val="both"/>
        <w:rPr>
          <w:color w:val="000000" w:themeColor="text1"/>
        </w:rPr>
      </w:pPr>
      <w:r w:rsidRPr="00824A69">
        <w:rPr>
          <w:color w:val="000000" w:themeColor="text1"/>
          <w:sz w:val="24"/>
          <w:szCs w:val="24"/>
        </w:rPr>
        <w:t>Segundo dados da Pesquisa “A Escalada da Desigualdade – Qual foi o Impacto da Crise sobre a Distribuição de Renda e Pobreza?”</w:t>
      </w:r>
      <w:r w:rsidR="00621829">
        <w:rPr>
          <w:rStyle w:val="Refdenotaderodap"/>
          <w:color w:val="000000" w:themeColor="text1"/>
          <w:sz w:val="24"/>
          <w:szCs w:val="24"/>
        </w:rPr>
        <w:footnoteReference w:id="4"/>
      </w:r>
      <w:r w:rsidRPr="00824A69">
        <w:rPr>
          <w:color w:val="000000" w:themeColor="text1"/>
          <w:sz w:val="24"/>
          <w:szCs w:val="24"/>
        </w:rPr>
        <w:t xml:space="preserve">, </w:t>
      </w:r>
      <w:r w:rsidR="00824A69" w:rsidRPr="00824A69">
        <w:rPr>
          <w:color w:val="000000" w:themeColor="text1"/>
          <w:sz w:val="24"/>
          <w:szCs w:val="24"/>
        </w:rPr>
        <w:t xml:space="preserve">divulgada em agosto de 2019 pela </w:t>
      </w:r>
      <w:r w:rsidRPr="00824A69">
        <w:rPr>
          <w:color w:val="000000" w:themeColor="text1"/>
          <w:sz w:val="24"/>
          <w:szCs w:val="24"/>
        </w:rPr>
        <w:t xml:space="preserve">Fundação Getúlio Vargas (FGV), a parcela de 10% dos mais ricos no Brasil concentra 41,9% da renda no país enquanto 1% fica com 28,3% da renda. A pesquisa da FGV destaca ainda que há quatro anos persiste o aumento consecutivo da desigualdade no país;   </w:t>
      </w:r>
    </w:p>
    <w:p w14:paraId="0000000C" w14:textId="77777777" w:rsidR="001A2CE9" w:rsidRDefault="0024723D">
      <w:pPr>
        <w:numPr>
          <w:ilvl w:val="0"/>
          <w:numId w:val="2"/>
        </w:numPr>
        <w:spacing w:line="360" w:lineRule="auto"/>
        <w:ind w:right="-860"/>
        <w:jc w:val="both"/>
      </w:pPr>
      <w:r>
        <w:rPr>
          <w:sz w:val="24"/>
          <w:szCs w:val="24"/>
        </w:rPr>
        <w:t>Em 2018, o Brasil tinha 13,5 milhões de pessoas na pobreza extrema (6,5% da população vivendo com menos de R$ 145 mensais), de acordo com a Síntese de Indicadores Sociais 2019 do IBGE.  Ainda de acordo com o estudo, 52,5 milhões de brasileiros e brasileiras viviam na linha de pobreza em 2018, ou seja, ganhavam menos de R$ 420 per capita por mês;</w:t>
      </w:r>
    </w:p>
    <w:p w14:paraId="0000000D" w14:textId="77777777" w:rsidR="001A2CE9" w:rsidRDefault="0024723D">
      <w:pPr>
        <w:numPr>
          <w:ilvl w:val="0"/>
          <w:numId w:val="2"/>
        </w:numPr>
        <w:spacing w:line="360" w:lineRule="auto"/>
        <w:ind w:right="-860"/>
        <w:jc w:val="both"/>
      </w:pPr>
      <w:r>
        <w:rPr>
          <w:sz w:val="24"/>
          <w:szCs w:val="24"/>
        </w:rPr>
        <w:t xml:space="preserve">No que se refere às taxas de desemprego no país, a Organização Internacional do Trabalho (OIT) divulgou recentemente que o Brasil fechou 2019 com uma taxa de desemprego de 12,1% e destacou que não há no horizonte expectativa de melhoria acelerada deste índice; </w:t>
      </w:r>
    </w:p>
    <w:p w14:paraId="0000000E" w14:textId="3038AA46" w:rsidR="001A2CE9" w:rsidRDefault="0024723D">
      <w:pPr>
        <w:numPr>
          <w:ilvl w:val="0"/>
          <w:numId w:val="2"/>
        </w:numPr>
        <w:spacing w:line="360" w:lineRule="auto"/>
        <w:ind w:right="-860"/>
        <w:jc w:val="both"/>
      </w:pPr>
      <w:r>
        <w:rPr>
          <w:sz w:val="24"/>
          <w:szCs w:val="24"/>
        </w:rPr>
        <w:t>Com relação à educação, a Pesquisa Nacional por Amostra de Domicílios (</w:t>
      </w:r>
      <w:proofErr w:type="spellStart"/>
      <w:r>
        <w:rPr>
          <w:sz w:val="24"/>
          <w:szCs w:val="24"/>
        </w:rPr>
        <w:t>PnadC</w:t>
      </w:r>
      <w:proofErr w:type="spellEnd"/>
      <w:r>
        <w:rPr>
          <w:sz w:val="24"/>
          <w:szCs w:val="24"/>
        </w:rPr>
        <w:t xml:space="preserve"> 2017), mostrou que ainda há no Brasil 1,9 milhão de crianças e adolescentes fora da escola. A exclusão escolar afeta principalmente meninos e meninas das camadas mais vulneráveis da população, já privados de outros direitos constitucionais. Apresentados como potenciais “hospedeiros” e propagadores do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>, de um dia para</w:t>
      </w:r>
      <w:r w:rsidR="00824A69">
        <w:rPr>
          <w:sz w:val="24"/>
          <w:szCs w:val="24"/>
        </w:rPr>
        <w:t xml:space="preserve"> o outro</w:t>
      </w:r>
      <w:r>
        <w:rPr>
          <w:sz w:val="24"/>
          <w:szCs w:val="24"/>
        </w:rPr>
        <w:t>, meninos e meninas do mundo todo foram tirados de seu ambiente privilegiado de interação social e aprendizado, as escolas. Segundo levantamento feito pela Organização das Nações Unidas</w:t>
      </w:r>
      <w:r w:rsidR="00824A69">
        <w:rPr>
          <w:sz w:val="24"/>
          <w:szCs w:val="24"/>
        </w:rPr>
        <w:t xml:space="preserve"> (ONU)</w:t>
      </w:r>
      <w:r>
        <w:rPr>
          <w:sz w:val="24"/>
          <w:szCs w:val="24"/>
        </w:rPr>
        <w:t xml:space="preserve">, aproximadamente 87% (mais de 1,5 bilhão) dos estudantes de 165 países estão, neste momento, fora da escola, e </w:t>
      </w:r>
      <w:r>
        <w:rPr>
          <w:sz w:val="24"/>
          <w:szCs w:val="24"/>
        </w:rPr>
        <w:lastRenderedPageBreak/>
        <w:t>este percentual não para de aumentar</w:t>
      </w:r>
      <w:r w:rsidR="00824A69">
        <w:rPr>
          <w:rStyle w:val="Refdenotaderodap"/>
          <w:sz w:val="24"/>
          <w:szCs w:val="24"/>
        </w:rPr>
        <w:footnoteReference w:id="5"/>
      </w:r>
      <w:r>
        <w:rPr>
          <w:sz w:val="24"/>
          <w:szCs w:val="24"/>
        </w:rPr>
        <w:t>. Na América Latina e no Caribe, o UNICEF aponta que mais de 154 milhões de crianças e adolescentes (mais ou menos 95% dos estudantes da região) foram afetados. No Brasil, estima-se que boa parte dos 48,4 milhões de crianças e adolescentes matriculados em escolas públicas e privadas (</w:t>
      </w:r>
      <w:proofErr w:type="gramStart"/>
      <w:r>
        <w:rPr>
          <w:sz w:val="24"/>
          <w:szCs w:val="24"/>
        </w:rPr>
        <w:t>Censo</w:t>
      </w:r>
      <w:proofErr w:type="gramEnd"/>
      <w:r>
        <w:rPr>
          <w:sz w:val="24"/>
          <w:szCs w:val="24"/>
        </w:rPr>
        <w:t xml:space="preserve"> 2018) também estejam na mesma situação. Há que se ter em conta que uma das causas da exclusão escolar é o trabalho infantil e que em um cenário de escolas fechadas por tempo prolongado a possibilidade de que muitas crianças e adolescentes não voltem para as salas de aula é grande;</w:t>
      </w:r>
    </w:p>
    <w:p w14:paraId="0000000F" w14:textId="572158B9" w:rsidR="001A2CE9" w:rsidRDefault="0024723D">
      <w:pPr>
        <w:numPr>
          <w:ilvl w:val="0"/>
          <w:numId w:val="2"/>
        </w:numPr>
        <w:spacing w:line="360" w:lineRule="auto"/>
        <w:ind w:right="-860"/>
        <w:jc w:val="both"/>
      </w:pPr>
      <w:r>
        <w:rPr>
          <w:sz w:val="24"/>
          <w:szCs w:val="24"/>
        </w:rPr>
        <w:t xml:space="preserve">Por fim, ainda há uma naturalização do trabalho infantil por parcela significativa da sociedade brasileira, especialmente nos setores do trabalho informal e da agricultura. É importante destacar que aqueles que defendem o trabalho infantil o fazem para as crianças e os adolescentes brasileiros de famílias pobres, </w:t>
      </w:r>
      <w:r w:rsidR="00621829">
        <w:rPr>
          <w:sz w:val="24"/>
          <w:szCs w:val="24"/>
        </w:rPr>
        <w:t>pretas</w:t>
      </w:r>
      <w:r>
        <w:rPr>
          <w:sz w:val="24"/>
          <w:szCs w:val="24"/>
        </w:rPr>
        <w:t xml:space="preserve"> ou pardas. O que evidencia que o trabalho infantil tem classe social e cor. É fato que as argumentações favoráveis ao trabalho infantil (diga-se de passagem, para as crianças e os adolescentes pobres) encontram terreno fértil em períodos de recessão econômica, situação já anunciada por organismos internacionais e nacionais.</w:t>
      </w:r>
    </w:p>
    <w:p w14:paraId="00000010" w14:textId="77777777" w:rsidR="001A2CE9" w:rsidRDefault="001A2CE9">
      <w:pPr>
        <w:spacing w:line="360" w:lineRule="auto"/>
        <w:ind w:left="720" w:right="-860"/>
        <w:jc w:val="both"/>
        <w:rPr>
          <w:sz w:val="24"/>
          <w:szCs w:val="24"/>
        </w:rPr>
      </w:pPr>
    </w:p>
    <w:p w14:paraId="00000011" w14:textId="35558EB8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>O cenário brasileiro já tinha desafios consideráveis para a proteção dos direitos de crianças e adolescentes, especialmente para a eliminação do trabalho infantil, entretanto, na nova realidade que se apresenta, estes desafios ganham proporções dantescas.  Tentar mensurar os impactos resultantes da pandemia no combate ao trabalho infantil é um exercício de futurologia, entretanto, é uma preocupação real visto que a</w:t>
      </w:r>
      <w:r w:rsidR="00621829">
        <w:rPr>
          <w:sz w:val="24"/>
          <w:szCs w:val="24"/>
        </w:rPr>
        <w:t>s</w:t>
      </w:r>
      <w:r>
        <w:rPr>
          <w:sz w:val="24"/>
          <w:szCs w:val="24"/>
        </w:rPr>
        <w:t xml:space="preserve"> conjunturas econômica, política, cultural e social indicam que as condições determinantes para o trabalho infantil estarão ainda mais presentes na sociedade brasileira, resultantes do novo cenário pós- pandemia que se avizinha.</w:t>
      </w:r>
    </w:p>
    <w:p w14:paraId="00000012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por um lado, o combate à COVID-19 exige dos governos federal, estaduais e municipais um conjunto de iniciativas e recursos orçamentários, por outro lado, nenhuma ação do Estado brasileiro pode desconsiderar a proteção integral e a prioridade absoluta à criança e ao adolescente, previstas na Constituição Federal de 1988. </w:t>
      </w:r>
    </w:p>
    <w:p w14:paraId="00000014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partir deste pressuposto, e considerando a pandemia da COVID-19, é urgente a articulação de esforços dos três níveis de governo (federal, estadual e municipal) e das entidades comprometidas com uma infância sem trabalho para a realização de ações integradas em todo o território brasileiro, dentre elas:</w:t>
      </w:r>
    </w:p>
    <w:p w14:paraId="00000016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7" w14:textId="77777777" w:rsidR="001A2CE9" w:rsidRDefault="0024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t>Incidência política forte no Legislativo, Executivo e Judiciário locais para que as ações de enfrentamento à COVID-19 contemplem as crianças e os adolescentes no trabalho infantil e os adolescentes em Aprendizagem Profissional;</w:t>
      </w:r>
    </w:p>
    <w:p w14:paraId="00000018" w14:textId="77777777" w:rsidR="001A2CE9" w:rsidRDefault="0024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t>Adoção urgente de uma política de renda básica universal para as famílias em situação de vulnerabilidade social;</w:t>
      </w:r>
    </w:p>
    <w:p w14:paraId="00000019" w14:textId="56BCB6B4" w:rsidR="001A2CE9" w:rsidRDefault="00247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Fortalecimento das políticas de alimentação escolar nos Estados e municípios como forma de garantir a segurança alimentar e nutricional das crianças, adolescentes e suas famílias. Dados da Organização das Nações Unidas para Alimentação e Agricultura (FAO) indicam que aproximadamente 85 milhões de crianças e adolescentes na América Latina e Caribe se </w:t>
      </w:r>
      <w:r w:rsidR="00621829">
        <w:rPr>
          <w:sz w:val="24"/>
          <w:szCs w:val="24"/>
        </w:rPr>
        <w:t xml:space="preserve">beneficiam desses </w:t>
      </w:r>
      <w:r>
        <w:rPr>
          <w:sz w:val="24"/>
          <w:szCs w:val="24"/>
        </w:rPr>
        <w:t>programas. É importante destacar ainda que em muitos casos, a alimentação escolar é uma das principais ou a única fonte garantida de alimentação diária para cerca de 10 milhões de crianças e adolescentes no mundo. Segundo o Departamento Intersindical de Estatísticas e Estudos Econômicos (DIEESE)</w:t>
      </w:r>
      <w:r w:rsidR="00621829">
        <w:rPr>
          <w:rStyle w:val="Refdenotaderodap"/>
          <w:sz w:val="24"/>
          <w:szCs w:val="24"/>
        </w:rPr>
        <w:footnoteReference w:id="6"/>
      </w:r>
      <w:r>
        <w:rPr>
          <w:sz w:val="24"/>
          <w:szCs w:val="24"/>
        </w:rPr>
        <w:t xml:space="preserve">, no Brasil, o Programa Nacional de Alimentação Escolar (PNAE) é estratégico no enfrentamento à pandemia da COVID-19, pois permite que milhões de famílias tenham garantido o acesso à alimentação saudável e </w:t>
      </w:r>
      <w:r w:rsidR="00EE5E02">
        <w:rPr>
          <w:sz w:val="24"/>
          <w:szCs w:val="24"/>
        </w:rPr>
        <w:t>diversificada</w:t>
      </w:r>
      <w:r>
        <w:rPr>
          <w:sz w:val="24"/>
          <w:szCs w:val="24"/>
        </w:rPr>
        <w:t xml:space="preserve"> e, ao mesmo tempo, cria condições para que </w:t>
      </w:r>
      <w:r w:rsidR="00EE5E02">
        <w:rPr>
          <w:sz w:val="24"/>
          <w:szCs w:val="24"/>
        </w:rPr>
        <w:t xml:space="preserve">os </w:t>
      </w:r>
      <w:r>
        <w:rPr>
          <w:sz w:val="24"/>
          <w:szCs w:val="24"/>
        </w:rPr>
        <w:t>agricultores familiares</w:t>
      </w:r>
      <w:r w:rsidR="00EE5E02">
        <w:rPr>
          <w:sz w:val="24"/>
          <w:szCs w:val="24"/>
        </w:rPr>
        <w:t xml:space="preserve"> brasileiros</w:t>
      </w:r>
      <w:r>
        <w:rPr>
          <w:sz w:val="24"/>
          <w:szCs w:val="24"/>
        </w:rPr>
        <w:t xml:space="preserve"> possam enfrentar a adversidade da crise, garantindo a renda necessária para o sustento d</w:t>
      </w:r>
      <w:r w:rsidR="00621829">
        <w:rPr>
          <w:sz w:val="24"/>
          <w:szCs w:val="24"/>
        </w:rPr>
        <w:t xml:space="preserve">as famílias </w:t>
      </w:r>
      <w:r w:rsidR="00EE5E02">
        <w:rPr>
          <w:sz w:val="24"/>
          <w:szCs w:val="24"/>
        </w:rPr>
        <w:t xml:space="preserve">e a produção de alimentos </w:t>
      </w:r>
      <w:r w:rsidR="00621829">
        <w:rPr>
          <w:sz w:val="24"/>
          <w:szCs w:val="24"/>
        </w:rPr>
        <w:t xml:space="preserve">da </w:t>
      </w:r>
      <w:r w:rsidR="00621829" w:rsidRPr="00EE5E02">
        <w:rPr>
          <w:color w:val="000000" w:themeColor="text1"/>
          <w:sz w:val="24"/>
          <w:szCs w:val="24"/>
        </w:rPr>
        <w:t>A</w:t>
      </w:r>
      <w:r w:rsidRPr="00EE5E02">
        <w:rPr>
          <w:color w:val="000000" w:themeColor="text1"/>
          <w:sz w:val="24"/>
          <w:szCs w:val="24"/>
        </w:rPr>
        <w:t xml:space="preserve">gricultura </w:t>
      </w:r>
      <w:r w:rsidR="00621829" w:rsidRPr="00EE5E02">
        <w:rPr>
          <w:color w:val="000000" w:themeColor="text1"/>
          <w:sz w:val="24"/>
          <w:szCs w:val="24"/>
        </w:rPr>
        <w:t>F</w:t>
      </w:r>
      <w:r w:rsidRPr="00EE5E02">
        <w:rPr>
          <w:color w:val="000000" w:themeColor="text1"/>
          <w:sz w:val="24"/>
          <w:szCs w:val="24"/>
        </w:rPr>
        <w:t>amiliar</w:t>
      </w:r>
      <w:r w:rsidR="00EE5E02">
        <w:rPr>
          <w:color w:val="000000" w:themeColor="text1"/>
          <w:sz w:val="24"/>
          <w:szCs w:val="24"/>
        </w:rPr>
        <w:t>;</w:t>
      </w:r>
    </w:p>
    <w:p w14:paraId="0000001A" w14:textId="77777777" w:rsidR="001A2CE9" w:rsidRDefault="0024723D">
      <w:pPr>
        <w:numPr>
          <w:ilvl w:val="0"/>
          <w:numId w:val="1"/>
        </w:numP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t>Ampliação da abrangência e do acesso às políticas de proteção social para as famílias em situação de vulnerabilidade social;</w:t>
      </w:r>
    </w:p>
    <w:p w14:paraId="0000001B" w14:textId="77777777" w:rsidR="001A2CE9" w:rsidRDefault="0024723D">
      <w:pPr>
        <w:numPr>
          <w:ilvl w:val="0"/>
          <w:numId w:val="1"/>
        </w:numP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t>Implementação de iniciativas governamentais de distribuição de alimentos, de isenção de impostos e garantia de renda aos trabalhadores, especialmente aqueles no setor informal;</w:t>
      </w:r>
    </w:p>
    <w:p w14:paraId="0000001C" w14:textId="1A81BDED" w:rsidR="001A2CE9" w:rsidRDefault="0024723D">
      <w:pPr>
        <w:numPr>
          <w:ilvl w:val="0"/>
          <w:numId w:val="1"/>
        </w:numP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Ampla divulgação dos canais de denúncia para o encaminhamento destas aos órgãos competentes em âmbito nacional, estadual e municipal. É fundamental verificar se realmente os canais de denúncias estão funcionando e se os fluxos de encaminhamento aos órgãos competentes estão efetivamente ocorrendo para que a proteção e a defesa dos direitos de crianças e adolescentes seja</w:t>
      </w:r>
      <w:r w:rsidR="00EE5E02">
        <w:rPr>
          <w:sz w:val="24"/>
          <w:szCs w:val="24"/>
        </w:rPr>
        <w:t>m</w:t>
      </w:r>
      <w:r>
        <w:rPr>
          <w:sz w:val="24"/>
          <w:szCs w:val="24"/>
        </w:rPr>
        <w:t xml:space="preserve"> garantida</w:t>
      </w:r>
      <w:r w:rsidR="00EE5E02">
        <w:rPr>
          <w:sz w:val="24"/>
          <w:szCs w:val="24"/>
        </w:rPr>
        <w:t>s</w:t>
      </w:r>
      <w:r>
        <w:rPr>
          <w:sz w:val="24"/>
          <w:szCs w:val="24"/>
        </w:rPr>
        <w:t>. Os conselhos tutelares, os conselhos de direitos, o Ministério Público do Trabalho, as defensorias públicas e a inspeção do trabalho fazem parte do Sistema de Garantia de Direitos e têm papel fundamental no combate às violências contra crianças e adolescentes, incluindo o trabalho infantil;</w:t>
      </w:r>
    </w:p>
    <w:p w14:paraId="0000001D" w14:textId="77777777" w:rsidR="001A2CE9" w:rsidRDefault="0024723D">
      <w:pPr>
        <w:numPr>
          <w:ilvl w:val="0"/>
          <w:numId w:val="1"/>
        </w:numP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t>Monitoramento das notificações compulsórias de acidentes de trabalho de crianças e adolescentes pelos órgãos de saúde.</w:t>
      </w:r>
    </w:p>
    <w:p w14:paraId="0000001E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F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>Embora a pandemia da COVID-19 seja o item prioritário da agenda política internacional e nacional, é compromisso de todos que defendem e promovem o direito a uma infância sem trabalho e a uma adolescência com trabalho protegido (se esta for a opção dos adolescentes acima de 14 anos) realizar o debate de forma mais ampla, não só a partir da perspectiva da saúde pública, mas também a partir dos impactos negativos na vida de milhões de crianças e adolescentes no trabalho infantil e suas famílias.</w:t>
      </w:r>
    </w:p>
    <w:p w14:paraId="00000020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Neste sentido, vale destacar que a </w:t>
      </w:r>
      <w:r>
        <w:rPr>
          <w:sz w:val="24"/>
          <w:szCs w:val="24"/>
          <w:highlight w:val="white"/>
        </w:rPr>
        <w:t xml:space="preserve">Assembleia Geral das Nações Unidas adotou por unanimidade uma resolução declarando 2021 como o Ano Internacional para a Eliminação do Trabalho Infantil como forma de estimular os países a se mobilizarem para o alcance da meta 8.7 dos Objetivos do Desenvolvimento Sustentável (ODS) que trata da eliminação de todas as formas de trabalho infantil até 2025. </w:t>
      </w:r>
    </w:p>
    <w:p w14:paraId="00000022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0000023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Ciente de seu papel articulador e mobilizador da Rede Nacional de Combate ao Trabalho Infantil, o Fórum Nacional de Prevenção e Erradicação do Trabalho Infantil recomenda fortemente que os fóruns estaduais, o fórum distrital e as entidades nacionais que compõem a Rede:</w:t>
      </w:r>
    </w:p>
    <w:p w14:paraId="00000024" w14:textId="77777777" w:rsidR="001A2CE9" w:rsidRDefault="001A2CE9">
      <w:pPr>
        <w:spacing w:line="360" w:lineRule="auto"/>
        <w:ind w:left="-1140" w:right="-860"/>
        <w:jc w:val="both"/>
        <w:rPr>
          <w:sz w:val="24"/>
          <w:szCs w:val="24"/>
          <w:highlight w:val="white"/>
        </w:rPr>
      </w:pPr>
    </w:p>
    <w:p w14:paraId="00000025" w14:textId="77777777" w:rsidR="001A2CE9" w:rsidRDefault="0024723D">
      <w:pPr>
        <w:numPr>
          <w:ilvl w:val="0"/>
          <w:numId w:val="3"/>
        </w:numPr>
        <w:spacing w:line="360" w:lineRule="auto"/>
        <w:ind w:right="-8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Realizem reuniões virtuais para fortalecer ou iniciar uma articulação com conselhos tutelares, conselhos de direitos, representações de empregadores, trabalhadores, organizações da sociedade civil e do sistema de justiça para juntos definirem ações emergenciais no contexto da pandemia da COVID-19 em seus Estados;</w:t>
      </w:r>
    </w:p>
    <w:p w14:paraId="00000026" w14:textId="77777777" w:rsidR="001A2CE9" w:rsidRDefault="0024723D">
      <w:pPr>
        <w:numPr>
          <w:ilvl w:val="0"/>
          <w:numId w:val="3"/>
        </w:numP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Verifiquem a efetividade dos canais de denúncia de seus Estados e municípios e caso estes estejam funcionando efetivamente, divulguem amplamente;</w:t>
      </w:r>
    </w:p>
    <w:p w14:paraId="00000027" w14:textId="77777777" w:rsidR="001A2CE9" w:rsidRDefault="0024723D">
      <w:pPr>
        <w:numPr>
          <w:ilvl w:val="0"/>
          <w:numId w:val="3"/>
        </w:numPr>
        <w:spacing w:line="360" w:lineRule="auto"/>
        <w:ind w:right="-860"/>
        <w:jc w:val="both"/>
        <w:rPr>
          <w:sz w:val="24"/>
          <w:szCs w:val="24"/>
        </w:rPr>
      </w:pPr>
      <w:r>
        <w:rPr>
          <w:sz w:val="24"/>
          <w:szCs w:val="24"/>
        </w:rPr>
        <w:t>Divulguem amplamente os procedimentos para inserção das famílias em situação de vulnerabilidade no Cadastro Único para que possam ser contempladas pelas políticas públicas de proteção social.</w:t>
      </w:r>
    </w:p>
    <w:p w14:paraId="00000028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9" w14:textId="77777777" w:rsidR="001A2CE9" w:rsidRDefault="0024723D">
      <w:pPr>
        <w:spacing w:line="360" w:lineRule="auto"/>
        <w:ind w:left="-1140" w:right="-860"/>
        <w:jc w:val="both"/>
        <w:rPr>
          <w:sz w:val="24"/>
          <w:szCs w:val="24"/>
        </w:rPr>
      </w:pPr>
      <w:r>
        <w:rPr>
          <w:sz w:val="24"/>
          <w:szCs w:val="24"/>
        </w:rPr>
        <w:t>A Rede Nacional de Combate ao Trabalho Infantil tem capilaridade nacional e por agregar diferentes organizações já provou que faz a diferença. Neste momento de incertezas e angústias, para seguirmos na luta contra o trabalho infantil, tomemos como incentivo as palavras de João Guimarães Rosa (Grande Sertão: Veredas):</w:t>
      </w:r>
    </w:p>
    <w:p w14:paraId="0000002A" w14:textId="77777777" w:rsidR="001A2CE9" w:rsidRDefault="0024723D">
      <w:pPr>
        <w:spacing w:line="360" w:lineRule="auto"/>
        <w:ind w:left="2260" w:right="-860"/>
        <w:jc w:val="both"/>
        <w:rPr>
          <w:sz w:val="24"/>
          <w:szCs w:val="24"/>
        </w:rPr>
      </w:pPr>
      <w:r>
        <w:rPr>
          <w:sz w:val="24"/>
          <w:szCs w:val="24"/>
        </w:rPr>
        <w:t>“(...) O correr da vida embrulha tudo,</w:t>
      </w:r>
    </w:p>
    <w:p w14:paraId="0000002B" w14:textId="77777777" w:rsidR="001A2CE9" w:rsidRDefault="0024723D">
      <w:pPr>
        <w:spacing w:line="360" w:lineRule="auto"/>
        <w:ind w:left="2260" w:right="-860"/>
        <w:jc w:val="both"/>
        <w:rPr>
          <w:sz w:val="24"/>
          <w:szCs w:val="24"/>
        </w:rPr>
      </w:pPr>
      <w:r>
        <w:rPr>
          <w:sz w:val="24"/>
          <w:szCs w:val="24"/>
        </w:rPr>
        <w:t>A vida é assim: esquenta e esfria,</w:t>
      </w:r>
    </w:p>
    <w:p w14:paraId="0000002C" w14:textId="77777777" w:rsidR="001A2CE9" w:rsidRDefault="0024723D">
      <w:pPr>
        <w:spacing w:line="360" w:lineRule="auto"/>
        <w:ind w:left="2260" w:right="-860"/>
        <w:jc w:val="both"/>
        <w:rPr>
          <w:sz w:val="24"/>
          <w:szCs w:val="24"/>
        </w:rPr>
      </w:pPr>
      <w:r>
        <w:rPr>
          <w:sz w:val="24"/>
          <w:szCs w:val="24"/>
        </w:rPr>
        <w:t>Aperta e daí afrouxa, sossega e depois desinquieta.</w:t>
      </w:r>
    </w:p>
    <w:p w14:paraId="0000002D" w14:textId="77777777" w:rsidR="001A2CE9" w:rsidRDefault="0024723D">
      <w:pPr>
        <w:spacing w:line="360" w:lineRule="auto"/>
        <w:ind w:left="2260" w:right="-860"/>
        <w:jc w:val="both"/>
        <w:rPr>
          <w:sz w:val="24"/>
          <w:szCs w:val="24"/>
        </w:rPr>
      </w:pPr>
      <w:r>
        <w:rPr>
          <w:sz w:val="24"/>
          <w:szCs w:val="24"/>
        </w:rPr>
        <w:t>O que ela quer da gente é coragem”</w:t>
      </w:r>
    </w:p>
    <w:p w14:paraId="0000002E" w14:textId="77777777" w:rsidR="001A2CE9" w:rsidRDefault="0024723D">
      <w:pPr>
        <w:ind w:left="-1140" w:right="-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F" w14:textId="77777777" w:rsidR="001A2CE9" w:rsidRDefault="001A2CE9"/>
    <w:p w14:paraId="00000035" w14:textId="77777777" w:rsidR="001A2CE9" w:rsidRDefault="001A2CE9"/>
    <w:sectPr w:rsidR="001A2CE9" w:rsidSect="00621829">
      <w:pgSz w:w="11909" w:h="16834"/>
      <w:pgMar w:top="1440" w:right="16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D779" w14:textId="77777777" w:rsidR="003306DF" w:rsidRDefault="003306DF" w:rsidP="00824A69">
      <w:pPr>
        <w:spacing w:line="240" w:lineRule="auto"/>
      </w:pPr>
      <w:r>
        <w:separator/>
      </w:r>
    </w:p>
  </w:endnote>
  <w:endnote w:type="continuationSeparator" w:id="0">
    <w:p w14:paraId="292A4B3A" w14:textId="77777777" w:rsidR="003306DF" w:rsidRDefault="003306DF" w:rsidP="0082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C450" w14:textId="77777777" w:rsidR="003306DF" w:rsidRDefault="003306DF" w:rsidP="00824A69">
      <w:pPr>
        <w:spacing w:line="240" w:lineRule="auto"/>
      </w:pPr>
      <w:r>
        <w:separator/>
      </w:r>
    </w:p>
  </w:footnote>
  <w:footnote w:type="continuationSeparator" w:id="0">
    <w:p w14:paraId="3CDBB346" w14:textId="77777777" w:rsidR="003306DF" w:rsidRDefault="003306DF" w:rsidP="00824A69">
      <w:pPr>
        <w:spacing w:line="240" w:lineRule="auto"/>
      </w:pPr>
      <w:r>
        <w:continuationSeparator/>
      </w:r>
    </w:p>
  </w:footnote>
  <w:footnote w:id="1">
    <w:p w14:paraId="76CD9034" w14:textId="184356AF" w:rsidR="00947843" w:rsidRPr="00947843" w:rsidRDefault="00947843" w:rsidP="00947843">
      <w:pPr>
        <w:pStyle w:val="Textodenotaderodap"/>
        <w:ind w:left="-1134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061F4D">
          <w:rPr>
            <w:rStyle w:val="Hyperlink"/>
          </w:rPr>
          <w:t>https://fnpeti.org.br/artigos/o-enfrentamento-ao-trabalho-infantil-no-contexto-da-covid-19/</w:t>
        </w:r>
      </w:hyperlink>
      <w:r>
        <w:t xml:space="preserve"> </w:t>
      </w:r>
    </w:p>
  </w:footnote>
  <w:footnote w:id="2">
    <w:p w14:paraId="17CA2753" w14:textId="0A1BA3F9" w:rsidR="00947843" w:rsidRPr="00947843" w:rsidRDefault="00947843" w:rsidP="00947843">
      <w:pPr>
        <w:pStyle w:val="Textodenotaderodap"/>
        <w:ind w:left="-1134" w:right="-850"/>
      </w:pPr>
      <w:r>
        <w:rPr>
          <w:rStyle w:val="Refdenotaderodap"/>
        </w:rPr>
        <w:footnoteRef/>
      </w:r>
      <w:r>
        <w:t xml:space="preserve"> </w:t>
      </w:r>
      <w:r>
        <w:t xml:space="preserve">Cientista Política, especialista em Políticas Públicas pela Universidade de Brasília (UNB), em Democracia Participativa, República e Movimentos Sociais (UFG) e em Ensino Interdisciplinar em Infância e Direitos Humanos (UFG).  Assessora do Fórum Nacional de Prevenção e Erradicação do Trabalho Infantil (FNPETI). E-mail: </w:t>
      </w:r>
      <w:hyperlink r:id="rId2" w:history="1">
        <w:r w:rsidRPr="005B02FA">
          <w:rPr>
            <w:rStyle w:val="Hyperlink"/>
          </w:rPr>
          <w:t>tdornellas@gmail.com</w:t>
        </w:r>
      </w:hyperlink>
    </w:p>
  </w:footnote>
  <w:footnote w:id="3">
    <w:p w14:paraId="5A53FD42" w14:textId="64AB9F2D" w:rsidR="00621829" w:rsidRPr="00621829" w:rsidRDefault="00621829" w:rsidP="00621829">
      <w:pPr>
        <w:pStyle w:val="Textodenotaderodap"/>
        <w:ind w:left="-1134" w:right="-894"/>
        <w:rPr>
          <w:color w:val="000000" w:themeColor="text1"/>
        </w:rPr>
      </w:pPr>
      <w:r>
        <w:rPr>
          <w:rStyle w:val="Refdenotaderodap"/>
        </w:rPr>
        <w:footnoteRef/>
      </w:r>
      <w:r>
        <w:t xml:space="preserve"> Disponível em: </w:t>
      </w:r>
      <w:hyperlink r:id="rId3">
        <w:r>
          <w:rPr>
            <w:color w:val="1155CC"/>
            <w:u w:val="single"/>
          </w:rPr>
          <w:t>https://www.un.org/development/desa/dspd/wp-content/uploads/sites/22/2020/01/World-Social-Report-2020-FullReport.pdf</w:t>
        </w:r>
      </w:hyperlink>
      <w:r>
        <w:rPr>
          <w:color w:val="1155CC"/>
          <w:u w:val="single"/>
        </w:rPr>
        <w:t>.</w:t>
      </w:r>
      <w:r>
        <w:rPr>
          <w:color w:val="1155CC"/>
        </w:rPr>
        <w:t xml:space="preserve"> </w:t>
      </w:r>
      <w:r>
        <w:rPr>
          <w:color w:val="000000" w:themeColor="text1"/>
        </w:rPr>
        <w:t xml:space="preserve">Acesso em: 22 </w:t>
      </w:r>
      <w:proofErr w:type="spellStart"/>
      <w:r>
        <w:rPr>
          <w:color w:val="000000" w:themeColor="text1"/>
        </w:rPr>
        <w:t>jan</w:t>
      </w:r>
      <w:proofErr w:type="spellEnd"/>
      <w:r>
        <w:rPr>
          <w:color w:val="000000" w:themeColor="text1"/>
        </w:rPr>
        <w:t>, 2020.</w:t>
      </w:r>
    </w:p>
  </w:footnote>
  <w:footnote w:id="4">
    <w:p w14:paraId="71CA2863" w14:textId="6F900B54" w:rsidR="00621829" w:rsidRPr="00621829" w:rsidRDefault="00621829" w:rsidP="00621829">
      <w:pPr>
        <w:ind w:left="-1134" w:right="-894"/>
        <w:rPr>
          <w:color w:val="000000" w:themeColor="text1"/>
        </w:rPr>
      </w:pPr>
      <w:r>
        <w:rPr>
          <w:rStyle w:val="Refdenotaderodap"/>
        </w:rPr>
        <w:footnoteRef/>
      </w:r>
      <w:r>
        <w:t xml:space="preserve"> Disponível em: </w:t>
      </w:r>
      <w:hyperlink r:id="rId4">
        <w:r>
          <w:rPr>
            <w:color w:val="1155CC"/>
            <w:u w:val="single"/>
          </w:rPr>
          <w:t>https://www.cps.fgv.br/cps/bd/docs/A-Escalada-da-Desigualdade-Marcelo-Neri-FGV-Social.pdf</w:t>
        </w:r>
      </w:hyperlink>
      <w:r>
        <w:rPr>
          <w:color w:val="000000" w:themeColor="text1"/>
        </w:rPr>
        <w:t xml:space="preserve">. Acesso em: 1 </w:t>
      </w:r>
      <w:proofErr w:type="spellStart"/>
      <w:r>
        <w:rPr>
          <w:color w:val="000000" w:themeColor="text1"/>
        </w:rPr>
        <w:t>fev</w:t>
      </w:r>
      <w:proofErr w:type="spellEnd"/>
      <w:r>
        <w:rPr>
          <w:color w:val="000000" w:themeColor="text1"/>
        </w:rPr>
        <w:t>, 2020.</w:t>
      </w:r>
    </w:p>
    <w:p w14:paraId="17D792E3" w14:textId="737C4031" w:rsidR="00621829" w:rsidRPr="00621829" w:rsidRDefault="00621829" w:rsidP="00621829">
      <w:pPr>
        <w:pStyle w:val="Textodenotaderodap"/>
        <w:ind w:left="-1134" w:right="-894"/>
      </w:pPr>
    </w:p>
  </w:footnote>
  <w:footnote w:id="5">
    <w:p w14:paraId="08E90D35" w14:textId="040F7F3E" w:rsidR="00824A69" w:rsidRPr="00824A69" w:rsidRDefault="00824A69" w:rsidP="00621829">
      <w:pPr>
        <w:pStyle w:val="Textodenotaderodap"/>
        <w:ind w:left="-1134" w:right="-894"/>
      </w:pPr>
      <w:r>
        <w:rPr>
          <w:rStyle w:val="Refdenotaderodap"/>
        </w:rPr>
        <w:footnoteRef/>
      </w:r>
      <w:r>
        <w:t xml:space="preserve"> </w:t>
      </w:r>
      <w:r w:rsidRPr="00824A69">
        <w:t xml:space="preserve">Disponível em: </w:t>
      </w:r>
      <w:hyperlink r:id="rId5" w:history="1">
        <w:r w:rsidRPr="005B02FA">
          <w:rPr>
            <w:rStyle w:val="Hyperlink"/>
          </w:rPr>
          <w:t>https://nacoesunidas.org/artigo-fechar-escolas-desestabilizou-a-vida-de-criancas-em-todo-o-mundo-como-podemos-ajuda-las-a-continuar-aprendendo/</w:t>
        </w:r>
      </w:hyperlink>
      <w:r>
        <w:t xml:space="preserve"> Acesso em: 1 </w:t>
      </w:r>
      <w:proofErr w:type="spellStart"/>
      <w:r>
        <w:t>abr</w:t>
      </w:r>
      <w:proofErr w:type="spellEnd"/>
      <w:r>
        <w:t>, 2020</w:t>
      </w:r>
      <w:r w:rsidR="00621829">
        <w:t>.</w:t>
      </w:r>
    </w:p>
  </w:footnote>
  <w:footnote w:id="6">
    <w:p w14:paraId="08E92CEB" w14:textId="673A048A" w:rsidR="00621829" w:rsidRPr="00621829" w:rsidRDefault="00621829" w:rsidP="00621829">
      <w:pPr>
        <w:pStyle w:val="Textodenotaderodap"/>
        <w:ind w:left="-1134" w:right="-850"/>
      </w:pPr>
      <w:r>
        <w:rPr>
          <w:rStyle w:val="Refdenotaderodap"/>
        </w:rPr>
        <w:footnoteRef/>
      </w:r>
      <w:r>
        <w:t xml:space="preserve"> Nota Técnica Número 231 de 01 de abril de 2020. Disponível em: </w:t>
      </w:r>
      <w:hyperlink r:id="rId6">
        <w:r>
          <w:rPr>
            <w:color w:val="1155CC"/>
            <w:u w:val="single"/>
          </w:rPr>
          <w:t>https://www.dieese.org.br/notatecnica/2020/notaTec231Pnae.pdf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365F"/>
    <w:multiLevelType w:val="multilevel"/>
    <w:tmpl w:val="23E4366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7B04E7"/>
    <w:multiLevelType w:val="multilevel"/>
    <w:tmpl w:val="73807F0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F53EE"/>
    <w:multiLevelType w:val="multilevel"/>
    <w:tmpl w:val="3D86C5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E9"/>
    <w:rsid w:val="00140A2A"/>
    <w:rsid w:val="001A2CE9"/>
    <w:rsid w:val="0024723D"/>
    <w:rsid w:val="003306DF"/>
    <w:rsid w:val="004B08F5"/>
    <w:rsid w:val="00621829"/>
    <w:rsid w:val="00824A69"/>
    <w:rsid w:val="00947843"/>
    <w:rsid w:val="00BF10E1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13BA"/>
  <w15:docId w15:val="{85283233-CF8E-D041-BE8F-B62FE1F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4A6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4A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4A6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24A6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development/desa/dspd/wp-content/uploads/sites/22/2020/01/World-Social-Report-2020-FullReport.pdf" TargetMode="External"/><Relationship Id="rId2" Type="http://schemas.openxmlformats.org/officeDocument/2006/relationships/hyperlink" Target="mailto:tdornellas@gmail.com" TargetMode="External"/><Relationship Id="rId1" Type="http://schemas.openxmlformats.org/officeDocument/2006/relationships/hyperlink" Target="https://fnpeti.org.br/artigos/o-enfrentamento-ao-trabalho-infantil-no-contexto-da-covid-19/" TargetMode="External"/><Relationship Id="rId6" Type="http://schemas.openxmlformats.org/officeDocument/2006/relationships/hyperlink" Target="https://www.dieese.org.br/notatecnica/2020/notaTec231Pnae.pdf" TargetMode="External"/><Relationship Id="rId5" Type="http://schemas.openxmlformats.org/officeDocument/2006/relationships/hyperlink" Target="https://nacoesunidas.org/artigo-fechar-escolas-desestabilizou-a-vida-de-criancas-em-todo-o-mundo-como-podemos-ajuda-las-a-continuar-aprendendo/" TargetMode="External"/><Relationship Id="rId4" Type="http://schemas.openxmlformats.org/officeDocument/2006/relationships/hyperlink" Target="https://www.cps.fgv.br/cps/bd/docs/A-Escalada-da-Desigualdade-Marcelo-Neri-FGV-Soci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CD5471-0E71-B143-A088-AB82AB4A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1827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2020-06-03T12:01:00Z</dcterms:created>
  <dcterms:modified xsi:type="dcterms:W3CDTF">2020-06-03T12:05:00Z</dcterms:modified>
</cp:coreProperties>
</file>